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微软雅黑" w:hAnsi="微软雅黑" w:eastAsia="微软雅黑" w:cs="宋体"/>
          <w:b/>
          <w:color w:val="1F4E79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1F4E79"/>
          <w:kern w:val="0"/>
          <w:sz w:val="32"/>
          <w:szCs w:val="32"/>
          <w:lang w:eastAsia="zh-CN"/>
        </w:rPr>
        <w:t>《</w:t>
      </w:r>
      <w:r>
        <w:rPr>
          <w:rFonts w:hint="eastAsia" w:ascii="微软雅黑" w:hAnsi="微软雅黑" w:eastAsia="微软雅黑"/>
          <w:b/>
          <w:color w:val="1F4E79"/>
          <w:sz w:val="32"/>
          <w:szCs w:val="24"/>
        </w:rPr>
        <w:t>项目投标管理与中标技巧</w:t>
      </w:r>
      <w:r>
        <w:rPr>
          <w:rFonts w:hint="eastAsia" w:ascii="微软雅黑" w:hAnsi="微软雅黑" w:eastAsia="微软雅黑" w:cs="宋体"/>
          <w:b/>
          <w:color w:val="1F4E79"/>
          <w:kern w:val="0"/>
          <w:sz w:val="32"/>
          <w:szCs w:val="32"/>
          <w:lang w:eastAsia="zh-CN"/>
        </w:rPr>
        <w:t>》</w:t>
      </w:r>
      <w:r>
        <w:rPr>
          <w:rFonts w:hint="eastAsia" w:ascii="微软雅黑" w:hAnsi="微软雅黑" w:eastAsia="微软雅黑" w:cs="宋体"/>
          <w:b/>
          <w:color w:val="1F4E79"/>
          <w:kern w:val="0"/>
          <w:sz w:val="32"/>
          <w:szCs w:val="32"/>
        </w:rPr>
        <w:t>——</w:t>
      </w:r>
      <w:r>
        <w:rPr>
          <w:rFonts w:hint="eastAsia" w:ascii="微软雅黑" w:hAnsi="微软雅黑" w:eastAsia="微软雅黑" w:cs="宋体"/>
          <w:b/>
          <w:color w:val="1F4E79"/>
          <w:kern w:val="0"/>
          <w:sz w:val="32"/>
          <w:szCs w:val="32"/>
          <w:lang w:val="en-US" w:eastAsia="zh-CN"/>
        </w:rPr>
        <w:t>时间</w:t>
      </w:r>
      <w:r>
        <w:rPr>
          <w:rFonts w:hint="eastAsia" w:ascii="微软雅黑" w:hAnsi="微软雅黑" w:eastAsia="微软雅黑" w:cs="宋体"/>
          <w:b/>
          <w:color w:val="1F4E79"/>
          <w:kern w:val="0"/>
          <w:sz w:val="32"/>
          <w:szCs w:val="32"/>
        </w:rPr>
        <w:t>课程表</w:t>
      </w:r>
    </w:p>
    <w:tbl>
      <w:tblPr>
        <w:tblStyle w:val="2"/>
        <w:tblW w:w="11224" w:type="dxa"/>
        <w:tblInd w:w="-1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691"/>
        <w:gridCol w:w="6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4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  <w:highlight w:val="yellow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版块</w:t>
            </w:r>
          </w:p>
        </w:tc>
        <w:tc>
          <w:tcPr>
            <w:tcW w:w="67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30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一、招投标法律法规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前言：招投标是营销学或是法学？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（1）招投标的属性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（2）招投标法律体系的五大特点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（3）招投标的十字原则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（4）招投标的立项审批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（5）《招投标法》与《政府采购法》衔接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40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12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二、招投标全流程解析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（1）招标五阶段1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步流程解析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（2）投标人法律风险防控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（3）互联网+招投标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24" w:type="dxa"/>
            <w:gridSpan w:val="3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4:00-15:30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三、投标实务</w:t>
            </w:r>
          </w:p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（一）寻标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（1）政府投资项目流程解析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（2）如何进行产业政策分析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（3）项目发布及法律解读——发改委2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017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年1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号令、2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018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年1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号令要点解读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40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17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三、投标实务</w:t>
            </w:r>
          </w:p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（二）跟标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（1）六种采购方式如何选择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（2）解读招标文件编制三原则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（3）怎样写一份得体的招标文件澄清函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（4）如何引导招标人有利于我方的招标文件条款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4" w:type="dxa"/>
            <w:gridSpan w:val="3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  <w:highlight w:val="yellow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9:00-11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三、投标实务</w:t>
            </w:r>
          </w:p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（三）控标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（1）投标文件的法定内容及构成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（2）投标文件编制技巧：扣题、行文、精细、美化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（3）如何应对电子投标？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（4）现场练习：招标文件的商务、技术、价格三大板块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解析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（视学员所在行业，在工程、货物、服务项目中3选1）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1:10-12:00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三、投标实务</w:t>
            </w:r>
          </w:p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（四）评标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（1）谁来评审您的投标项目？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（2）专家库的管理及评标专家的三权和三责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（3）关于初步评审与详细评审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（4）废标情形有哪些？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（5）如何应对现场澄清？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4" w:type="dxa"/>
            <w:gridSpan w:val="3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color w:val="1F4E79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15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30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三、投标实务</w:t>
            </w:r>
          </w:p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（五）定标</w:t>
            </w:r>
          </w:p>
          <w:p>
            <w:pPr>
              <w:widowControl/>
              <w:spacing w:line="460" w:lineRule="exact"/>
              <w:ind w:left="360"/>
              <w:jc w:val="both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（1）围标串标的认定与处罚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（2）关于评标报告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（3）应当质疑或投诉的情形分析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（4）如何提高质疑投诉成功率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（5）写好投诉函的“5注意”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40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17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四、中标合同签订</w:t>
            </w:r>
          </w:p>
        </w:tc>
        <w:tc>
          <w:tcPr>
            <w:tcW w:w="6768" w:type="dxa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（1）《合同法》与《招投标法》的衔接要点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（2）投标人合同管理四阶段之订立前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（3）投标人合同管理四阶段之谈判中</w:t>
            </w:r>
          </w:p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（4）投标人合同管理四阶段之履行与结算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（5）投标人合同管理四阶段之补充、变更、解除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17</w:t>
            </w: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:</w:t>
            </w:r>
            <w:r>
              <w:rPr>
                <w:rFonts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>30</w:t>
            </w:r>
          </w:p>
        </w:tc>
        <w:tc>
          <w:tcPr>
            <w:tcW w:w="9459" w:type="dxa"/>
            <w:gridSpan w:val="2"/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1F4E79"/>
                <w:kern w:val="0"/>
                <w:sz w:val="24"/>
                <w:szCs w:val="24"/>
              </w:rPr>
              <w:t xml:space="preserve"> 交流与总结</w:t>
            </w:r>
          </w:p>
        </w:tc>
      </w:tr>
    </w:tbl>
    <w:p>
      <w:pPr>
        <w:widowControl/>
        <w:spacing w:line="460" w:lineRule="exact"/>
        <w:jc w:val="left"/>
        <w:rPr>
          <w:rFonts w:ascii="微软雅黑" w:hAnsi="微软雅黑" w:eastAsia="微软雅黑" w:cs="宋体"/>
          <w:b/>
          <w:color w:val="1F4E79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B9"/>
    <w:rsid w:val="00156BAF"/>
    <w:rsid w:val="001718B9"/>
    <w:rsid w:val="008C5778"/>
    <w:rsid w:val="00C457CD"/>
    <w:rsid w:val="00DC1AE9"/>
    <w:rsid w:val="056550A2"/>
    <w:rsid w:val="09AB202A"/>
    <w:rsid w:val="43A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2</TotalTime>
  <ScaleCrop>false</ScaleCrop>
  <LinksUpToDate>false</LinksUpToDate>
  <CharactersWithSpaces>936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2019-03-11T12:37:00Z</dcterms:created>
  <dc:creator>macbook</dc:creator>
  <cp:lastModifiedBy>0755a</cp:lastModifiedBy>
  <dcterms:modified xsi:type="dcterms:W3CDTF">2019-03-12T01:53:42Z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